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4"/>
          <w:szCs w:val="24"/>
        </w:rPr>
      </w:pPr>
      <w:r w:rsidDel="00000000" w:rsidR="00000000" w:rsidRPr="00000000">
        <w:rPr>
          <w:b w:val="1"/>
          <w:sz w:val="24"/>
          <w:szCs w:val="24"/>
          <w:rtl w:val="0"/>
        </w:rPr>
        <w:t xml:space="preserve">General Eligibility Criteria for All Applicants </w:t>
      </w:r>
    </w:p>
    <w:p w:rsidR="00000000" w:rsidDel="00000000" w:rsidP="00000000" w:rsidRDefault="00000000" w:rsidRPr="00000000" w14:paraId="00000002">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Applicants need to fulfil the following criteria: </w:t>
      </w:r>
    </w:p>
    <w:p w:rsidR="00000000" w:rsidDel="00000000" w:rsidP="00000000" w:rsidRDefault="00000000" w:rsidRPr="00000000" w14:paraId="00000004">
      <w:pPr>
        <w:spacing w:line="240" w:lineRule="auto"/>
        <w:jc w:val="both"/>
        <w:rPr>
          <w:sz w:val="24"/>
          <w:szCs w:val="24"/>
        </w:rPr>
      </w:pPr>
      <w:r w:rsidDel="00000000" w:rsidR="00000000" w:rsidRPr="00000000">
        <w:rPr>
          <w:rtl w:val="0"/>
        </w:rPr>
      </w:r>
    </w:p>
    <w:p w:rsidR="00000000" w:rsidDel="00000000" w:rsidP="00000000" w:rsidRDefault="00000000" w:rsidRPr="00000000" w14:paraId="00000005">
      <w:pPr>
        <w:numPr>
          <w:ilvl w:val="0"/>
          <w:numId w:val="2"/>
        </w:numPr>
        <w:spacing w:line="240" w:lineRule="auto"/>
        <w:ind w:left="564" w:hanging="344"/>
        <w:jc w:val="both"/>
        <w:rPr>
          <w:rFonts w:ascii="Arial" w:cs="Arial" w:eastAsia="Arial" w:hAnsi="Arial"/>
          <w:sz w:val="24"/>
          <w:szCs w:val="24"/>
        </w:rPr>
      </w:pPr>
      <w:r w:rsidDel="00000000" w:rsidR="00000000" w:rsidRPr="00000000">
        <w:rPr>
          <w:sz w:val="24"/>
          <w:szCs w:val="24"/>
          <w:rtl w:val="0"/>
        </w:rPr>
        <w:t xml:space="preserve">must be born in Cyprus or one of their parents must be born in Cyprus;</w:t>
        <w:br w:type="textWrapping"/>
      </w:r>
    </w:p>
    <w:p w:rsidR="00000000" w:rsidDel="00000000" w:rsidP="00000000" w:rsidRDefault="00000000" w:rsidRPr="00000000" w14:paraId="00000006">
      <w:pPr>
        <w:numPr>
          <w:ilvl w:val="0"/>
          <w:numId w:val="2"/>
        </w:numPr>
        <w:spacing w:line="240" w:lineRule="auto"/>
        <w:ind w:left="564" w:hanging="344"/>
        <w:jc w:val="both"/>
        <w:rPr>
          <w:rFonts w:ascii="Arial" w:cs="Arial" w:eastAsia="Arial" w:hAnsi="Arial"/>
          <w:sz w:val="24"/>
          <w:szCs w:val="24"/>
        </w:rPr>
      </w:pPr>
      <w:r w:rsidDel="00000000" w:rsidR="00000000" w:rsidRPr="00000000">
        <w:rPr>
          <w:sz w:val="24"/>
          <w:szCs w:val="24"/>
          <w:rtl w:val="0"/>
        </w:rPr>
        <w:t xml:space="preserve">must be a resident in Cyprus;</w:t>
        <w:br w:type="textWrapping"/>
      </w:r>
    </w:p>
    <w:p w:rsidR="00000000" w:rsidDel="00000000" w:rsidP="00000000" w:rsidRDefault="00000000" w:rsidRPr="00000000" w14:paraId="00000007">
      <w:pPr>
        <w:numPr>
          <w:ilvl w:val="0"/>
          <w:numId w:val="2"/>
        </w:numPr>
        <w:spacing w:line="240" w:lineRule="auto"/>
        <w:ind w:left="564" w:hanging="344"/>
        <w:jc w:val="both"/>
        <w:rPr>
          <w:rFonts w:ascii="Arial" w:cs="Arial" w:eastAsia="Arial" w:hAnsi="Arial"/>
          <w:sz w:val="24"/>
          <w:szCs w:val="24"/>
        </w:rPr>
      </w:pPr>
      <w:r w:rsidDel="00000000" w:rsidR="00000000" w:rsidRPr="00000000">
        <w:rPr>
          <w:sz w:val="24"/>
          <w:szCs w:val="24"/>
          <w:rtl w:val="0"/>
        </w:rPr>
        <w:t xml:space="preserve">must have attended school in Cyprus for at least five years (cumulatively);</w:t>
        <w:br w:type="textWrapping"/>
      </w:r>
    </w:p>
    <w:p w:rsidR="00000000" w:rsidDel="00000000" w:rsidP="00000000" w:rsidRDefault="00000000" w:rsidRPr="00000000" w14:paraId="00000008">
      <w:pPr>
        <w:numPr>
          <w:ilvl w:val="0"/>
          <w:numId w:val="2"/>
        </w:numPr>
        <w:spacing w:line="240" w:lineRule="auto"/>
        <w:ind w:left="564" w:hanging="344"/>
        <w:jc w:val="both"/>
        <w:rPr>
          <w:rFonts w:ascii="Arial" w:cs="Arial" w:eastAsia="Arial" w:hAnsi="Arial"/>
          <w:sz w:val="24"/>
          <w:szCs w:val="24"/>
        </w:rPr>
      </w:pPr>
      <w:r w:rsidDel="00000000" w:rsidR="00000000" w:rsidRPr="00000000">
        <w:rPr>
          <w:sz w:val="24"/>
          <w:szCs w:val="24"/>
          <w:rtl w:val="0"/>
        </w:rPr>
        <w:t xml:space="preserve">must have at least a year 10 of secondary education or currently be enrolled in year 10 for the 2021-2022 academic year;</w:t>
        <w:br w:type="textWrapping"/>
      </w:r>
    </w:p>
    <w:p w:rsidR="00000000" w:rsidDel="00000000" w:rsidP="00000000" w:rsidRDefault="00000000" w:rsidRPr="00000000" w14:paraId="00000009">
      <w:pPr>
        <w:numPr>
          <w:ilvl w:val="0"/>
          <w:numId w:val="2"/>
        </w:numPr>
        <w:spacing w:line="240" w:lineRule="auto"/>
        <w:ind w:left="564" w:hanging="344"/>
        <w:jc w:val="both"/>
        <w:rPr>
          <w:rFonts w:ascii="Arial" w:cs="Arial" w:eastAsia="Arial" w:hAnsi="Arial"/>
          <w:sz w:val="24"/>
          <w:szCs w:val="24"/>
        </w:rPr>
      </w:pPr>
      <w:r w:rsidDel="00000000" w:rsidR="00000000" w:rsidRPr="00000000">
        <w:rPr>
          <w:sz w:val="24"/>
          <w:szCs w:val="24"/>
          <w:rtl w:val="0"/>
        </w:rPr>
        <w:t xml:space="preserve">must have been  born between 1st January 2005 to 31st December 2006, i.e. will be between 15 -17 years old during 2022.</w:t>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240" w:lineRule="auto"/>
        <w:jc w:val="both"/>
        <w:rPr>
          <w:b w:val="1"/>
          <w:sz w:val="24"/>
          <w:szCs w:val="24"/>
        </w:rPr>
      </w:pPr>
      <w:r w:rsidDel="00000000" w:rsidR="00000000" w:rsidRPr="00000000">
        <w:rPr>
          <w:b w:val="1"/>
          <w:sz w:val="24"/>
          <w:szCs w:val="24"/>
          <w:rtl w:val="0"/>
        </w:rPr>
        <w:t xml:space="preserve">General Conditions for All Applicants </w:t>
      </w:r>
    </w:p>
    <w:p w:rsidR="00000000" w:rsidDel="00000000" w:rsidP="00000000" w:rsidRDefault="00000000" w:rsidRPr="00000000" w14:paraId="0000000C">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Scholars are responsible for obtaining a visa if required by the host country. </w:t>
        <w:br w:type="textWrapping"/>
      </w:r>
    </w:p>
    <w:p w:rsidR="00000000" w:rsidDel="00000000" w:rsidP="00000000" w:rsidRDefault="00000000" w:rsidRPr="00000000" w14:paraId="0000000E">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Applicants must complete the health disclosure form as part of the online or written application form. </w:t>
        <w:br w:type="textWrapping"/>
      </w:r>
    </w:p>
    <w:p w:rsidR="00000000" w:rsidDel="00000000" w:rsidP="00000000" w:rsidRDefault="00000000" w:rsidRPr="00000000" w14:paraId="0000000F">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Scholars are responsible for obtaining insurance coverage for the duration of their stay in the host country, including a health insurance that also covers serious health or welfare issues that may arise after their arrival to the host country. </w:t>
        <w:br w:type="textWrapping"/>
      </w:r>
    </w:p>
    <w:p w:rsidR="00000000" w:rsidDel="00000000" w:rsidP="00000000" w:rsidRDefault="00000000" w:rsidRPr="00000000" w14:paraId="00000010">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Scholars are expected to a:end the events (i.e. pre-departure meetings, debriefing sessions, network events, focus groups, etc.) organised in the framework of the EU-UWC Scholarship Programme.</w:t>
        <w:br w:type="textWrapping"/>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40" w:lineRule="auto"/>
        <w:jc w:val="both"/>
        <w:rPr>
          <w:b w:val="1"/>
          <w:sz w:val="24"/>
          <w:szCs w:val="24"/>
        </w:rPr>
      </w:pPr>
      <w:r w:rsidDel="00000000" w:rsidR="00000000" w:rsidRPr="00000000">
        <w:rPr>
          <w:b w:val="1"/>
          <w:sz w:val="24"/>
          <w:szCs w:val="24"/>
          <w:rtl w:val="0"/>
        </w:rPr>
        <w:t xml:space="preserve">REQUIRED DOCUMENTS TO PROVE ELIGIBILITY </w:t>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40" w:lineRule="auto"/>
        <w:jc w:val="both"/>
        <w:rPr>
          <w:sz w:val="24"/>
          <w:szCs w:val="24"/>
        </w:rPr>
      </w:pPr>
      <w:r w:rsidDel="00000000" w:rsidR="00000000" w:rsidRPr="00000000">
        <w:rPr>
          <w:sz w:val="24"/>
          <w:szCs w:val="24"/>
          <w:rtl w:val="0"/>
        </w:rPr>
        <w:t xml:space="preserve">All applicants will be asked to upload the required documents listed below during the application process for their application to be valid. The documents can be in English, Turkish or Greek. No translation is required. Documents provided will not be returned to applicants at any stage. </w:t>
      </w:r>
    </w:p>
    <w:p w:rsidR="00000000" w:rsidDel="00000000" w:rsidP="00000000" w:rsidRDefault="00000000" w:rsidRPr="00000000" w14:paraId="00000015">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6">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Birth certificate (copy of ID/passport not accepted): A copy of the birth certificate showing that the applicant was born in Cyprus. If the applicant was not born in Cyprus, a copy of the birth certificate of one of the parents showing that (s)he was born in Cyprus should also be submitted along with the applicant’s birth certificate.</w:t>
        <w:br w:type="textWrapping"/>
      </w:r>
    </w:p>
    <w:p w:rsidR="00000000" w:rsidDel="00000000" w:rsidP="00000000" w:rsidRDefault="00000000" w:rsidRPr="00000000" w14:paraId="00000017">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Identification card and Passport: A copy of the applicant’s identification card and if applicable a copy of their passport (optional). </w:t>
        <w:br w:type="textWrapping"/>
      </w:r>
    </w:p>
    <w:p w:rsidR="00000000" w:rsidDel="00000000" w:rsidP="00000000" w:rsidRDefault="00000000" w:rsidRPr="00000000" w14:paraId="00000018">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Certificate of Residence: A copy of the certificate of residence proving the applicant’s current valid address as stated on the online application form.</w:t>
        <w:br w:type="textWrapping"/>
      </w:r>
    </w:p>
    <w:p w:rsidR="00000000" w:rsidDel="00000000" w:rsidP="00000000" w:rsidRDefault="00000000" w:rsidRPr="00000000" w14:paraId="00000019">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Proof of 5 years education in Cyprus: Official document obtained from school/ education authorities proving that the applicant studied cumulatively at least 5 years full time in a primary or secondary school or educational institution in Cyprus. If the applicant is enrolled for the</w:t>
      </w:r>
      <w:r w:rsidDel="00000000" w:rsidR="00000000" w:rsidRPr="00000000">
        <w:rPr>
          <w:color w:val="ed220b"/>
          <w:sz w:val="24"/>
          <w:szCs w:val="24"/>
          <w:rtl w:val="0"/>
        </w:rPr>
        <w:t xml:space="preserve"> </w:t>
      </w:r>
      <w:r w:rsidDel="00000000" w:rsidR="00000000" w:rsidRPr="00000000">
        <w:rPr>
          <w:sz w:val="24"/>
          <w:szCs w:val="24"/>
          <w:rtl w:val="0"/>
        </w:rPr>
        <w:t xml:space="preserve">2021/22 academic year in a school or educational institution, the current academic year will count towards attaining the 5 years required. </w:t>
        <w:br w:type="textWrapping"/>
      </w:r>
    </w:p>
    <w:p w:rsidR="00000000" w:rsidDel="00000000" w:rsidP="00000000" w:rsidRDefault="00000000" w:rsidRPr="00000000" w14:paraId="0000001A">
      <w:pPr>
        <w:numPr>
          <w:ilvl w:val="0"/>
          <w:numId w:val="1"/>
        </w:numPr>
        <w:spacing w:line="240" w:lineRule="auto"/>
        <w:ind w:left="564" w:hanging="344"/>
        <w:jc w:val="both"/>
        <w:rPr>
          <w:rFonts w:ascii="Arial" w:cs="Arial" w:eastAsia="Arial" w:hAnsi="Arial"/>
          <w:color w:val="000000"/>
          <w:sz w:val="24"/>
          <w:szCs w:val="24"/>
        </w:rPr>
      </w:pPr>
      <w:r w:rsidDel="00000000" w:rsidR="00000000" w:rsidRPr="00000000">
        <w:rPr>
          <w:sz w:val="24"/>
          <w:szCs w:val="24"/>
          <w:rtl w:val="0"/>
        </w:rPr>
        <w:t xml:space="preserve">Proof of enrolment to the 2021/22 academic year: A copy of the transcript for the last finalised semester or an official document obtained from the applicant’s school/education authorities proving the applicant’s enrolment to the 2021/22 academic year of study. </w:t>
      </w:r>
    </w:p>
    <w:p w:rsidR="00000000" w:rsidDel="00000000" w:rsidP="00000000" w:rsidRDefault="00000000" w:rsidRPr="00000000" w14:paraId="0000001B">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240" w:lineRule="auto"/>
        <w:jc w:val="both"/>
        <w:rPr>
          <w:b w:val="1"/>
          <w:sz w:val="24"/>
          <w:szCs w:val="24"/>
        </w:rPr>
      </w:pPr>
      <w:r w:rsidDel="00000000" w:rsidR="00000000" w:rsidRPr="00000000">
        <w:rPr>
          <w:b w:val="1"/>
          <w:sz w:val="24"/>
          <w:szCs w:val="24"/>
          <w:rtl w:val="0"/>
        </w:rPr>
        <w:t xml:space="preserve">Important Notes</w:t>
      </w:r>
    </w:p>
    <w:p w:rsidR="00000000" w:rsidDel="00000000" w:rsidP="00000000" w:rsidRDefault="00000000" w:rsidRPr="00000000" w14:paraId="0000001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E">
      <w:pPr>
        <w:spacing w:line="240" w:lineRule="auto"/>
        <w:jc w:val="both"/>
        <w:rPr>
          <w:sz w:val="24"/>
          <w:szCs w:val="24"/>
        </w:rPr>
      </w:pPr>
      <w:r w:rsidDel="00000000" w:rsidR="00000000" w:rsidRPr="00000000">
        <w:rPr>
          <w:sz w:val="24"/>
          <w:szCs w:val="24"/>
          <w:rtl w:val="0"/>
        </w:rPr>
        <w:t xml:space="preserve">Scholars will be selected to study at a UWC college for the period of 1 September 2022</w:t>
      </w:r>
      <w:r w:rsidDel="00000000" w:rsidR="00000000" w:rsidRPr="00000000">
        <w:rPr>
          <w:color w:val="ed220b"/>
          <w:sz w:val="24"/>
          <w:szCs w:val="24"/>
          <w:rtl w:val="0"/>
        </w:rPr>
        <w:t xml:space="preserve"> </w:t>
      </w:r>
      <w:r w:rsidDel="00000000" w:rsidR="00000000" w:rsidRPr="00000000">
        <w:rPr>
          <w:sz w:val="24"/>
          <w:szCs w:val="24"/>
          <w:rtl w:val="0"/>
        </w:rPr>
        <w:t xml:space="preserve">and 31 August 2024. </w:t>
      </w:r>
    </w:p>
    <w:p w:rsidR="00000000" w:rsidDel="00000000" w:rsidP="00000000" w:rsidRDefault="00000000" w:rsidRPr="00000000" w14:paraId="0000001F">
      <w:pPr>
        <w:spacing w:line="240" w:lineRule="auto"/>
        <w:jc w:val="both"/>
        <w:rPr>
          <w:sz w:val="24"/>
          <w:szCs w:val="24"/>
        </w:rPr>
      </w:pPr>
      <w:r w:rsidDel="00000000" w:rsidR="00000000" w:rsidRPr="00000000">
        <w:rPr>
          <w:rtl w:val="0"/>
        </w:rPr>
      </w:r>
    </w:p>
    <w:p w:rsidR="00000000" w:rsidDel="00000000" w:rsidP="00000000" w:rsidRDefault="00000000" w:rsidRPr="00000000" w14:paraId="00000020">
      <w:pPr>
        <w:spacing w:line="240" w:lineRule="auto"/>
        <w:jc w:val="both"/>
        <w:rPr>
          <w:sz w:val="24"/>
          <w:szCs w:val="24"/>
        </w:rPr>
      </w:pPr>
      <w:r w:rsidDel="00000000" w:rsidR="00000000" w:rsidRPr="00000000">
        <w:rPr>
          <w:sz w:val="24"/>
          <w:szCs w:val="24"/>
          <w:rtl w:val="0"/>
        </w:rPr>
        <w:t xml:space="preserve">The UWC Cyprus application process will be managed through our</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online portal</w:t>
        </w:r>
      </w:hyperlink>
      <w:r w:rsidDel="00000000" w:rsidR="00000000" w:rsidRPr="00000000">
        <w:rPr>
          <w:sz w:val="24"/>
          <w:szCs w:val="24"/>
          <w:rtl w:val="0"/>
        </w:rPr>
        <w:t xml:space="preserve">. A passport size photo, a copy of the personal identification document with photo (ID or passport) and relevant eligibility documents (see above) will need to be uploaded on the portal while submitting the application form. </w:t>
      </w:r>
    </w:p>
    <w:p w:rsidR="00000000" w:rsidDel="00000000" w:rsidP="00000000" w:rsidRDefault="00000000" w:rsidRPr="00000000" w14:paraId="00000021">
      <w:pPr>
        <w:spacing w:line="240" w:lineRule="auto"/>
        <w:jc w:val="both"/>
        <w:rPr>
          <w:sz w:val="24"/>
          <w:szCs w:val="24"/>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sz w:val="24"/>
          <w:szCs w:val="24"/>
          <w:highlight w:val="white"/>
          <w:rtl w:val="0"/>
        </w:rPr>
        <w:t xml:space="preserve">The deadline for submitting the online application along with the required eligibility documents is </w:t>
      </w:r>
      <w:r w:rsidDel="00000000" w:rsidR="00000000" w:rsidRPr="00000000">
        <w:rPr>
          <w:b w:val="1"/>
          <w:sz w:val="24"/>
          <w:szCs w:val="24"/>
          <w:highlight w:val="white"/>
          <w:rtl w:val="0"/>
        </w:rPr>
        <w:t xml:space="preserve"> 31 January 2022</w:t>
      </w:r>
      <w:r w:rsidDel="00000000" w:rsidR="00000000" w:rsidRPr="00000000">
        <w:rPr>
          <w:sz w:val="24"/>
          <w:szCs w:val="24"/>
          <w:highlight w:val="white"/>
          <w:rtl w:val="0"/>
        </w:rPr>
        <w:t xml:space="preserve">, by 23.59 hours Cyprus time. Our online portal will be automatically closed for applications after this time.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4" w:hanging="344"/>
      </w:pPr>
      <w:rPr>
        <w:rFonts w:ascii="Calibri" w:cs="Calibri" w:eastAsia="Calibri" w:hAnsi="Calibri"/>
        <w:b w:val="0"/>
        <w:i w:val="0"/>
        <w:smallCaps w:val="0"/>
        <w:strike w:val="0"/>
        <w:color w:val="1a1a1a"/>
        <w:shd w:fill="auto" w:val="clear"/>
        <w:vertAlign w:val="baseline"/>
      </w:rPr>
    </w:lvl>
    <w:lvl w:ilvl="1">
      <w:start w:val="1"/>
      <w:numFmt w:val="bullet"/>
      <w:lvlText w:val="•"/>
      <w:lvlJc w:val="left"/>
      <w:pPr>
        <w:ind w:left="815" w:hanging="375"/>
      </w:pPr>
      <w:rPr>
        <w:rFonts w:ascii="Calibri" w:cs="Calibri" w:eastAsia="Calibri" w:hAnsi="Calibri"/>
        <w:b w:val="0"/>
        <w:i w:val="0"/>
        <w:smallCaps w:val="0"/>
        <w:strike w:val="0"/>
        <w:color w:val="1a1a1a"/>
        <w:shd w:fill="auto" w:val="clear"/>
        <w:vertAlign w:val="baseline"/>
      </w:rPr>
    </w:lvl>
    <w:lvl w:ilvl="2">
      <w:start w:val="1"/>
      <w:numFmt w:val="bullet"/>
      <w:lvlText w:val="•"/>
      <w:lvlJc w:val="left"/>
      <w:pPr>
        <w:ind w:left="1035" w:hanging="375"/>
      </w:pPr>
      <w:rPr>
        <w:rFonts w:ascii="Calibri" w:cs="Calibri" w:eastAsia="Calibri" w:hAnsi="Calibri"/>
        <w:b w:val="0"/>
        <w:i w:val="0"/>
        <w:smallCaps w:val="0"/>
        <w:strike w:val="0"/>
        <w:color w:val="1a1a1a"/>
        <w:shd w:fill="auto" w:val="clear"/>
        <w:vertAlign w:val="baseline"/>
      </w:rPr>
    </w:lvl>
    <w:lvl w:ilvl="3">
      <w:start w:val="1"/>
      <w:numFmt w:val="bullet"/>
      <w:lvlText w:val="•"/>
      <w:lvlJc w:val="left"/>
      <w:pPr>
        <w:ind w:left="1255" w:hanging="375"/>
      </w:pPr>
      <w:rPr>
        <w:rFonts w:ascii="Calibri" w:cs="Calibri" w:eastAsia="Calibri" w:hAnsi="Calibri"/>
        <w:b w:val="0"/>
        <w:i w:val="0"/>
        <w:smallCaps w:val="0"/>
        <w:strike w:val="0"/>
        <w:color w:val="1a1a1a"/>
        <w:shd w:fill="auto" w:val="clear"/>
        <w:vertAlign w:val="baseline"/>
      </w:rPr>
    </w:lvl>
    <w:lvl w:ilvl="4">
      <w:start w:val="1"/>
      <w:numFmt w:val="bullet"/>
      <w:lvlText w:val="•"/>
      <w:lvlJc w:val="left"/>
      <w:pPr>
        <w:ind w:left="1475" w:hanging="375"/>
      </w:pPr>
      <w:rPr>
        <w:rFonts w:ascii="Calibri" w:cs="Calibri" w:eastAsia="Calibri" w:hAnsi="Calibri"/>
        <w:b w:val="0"/>
        <w:i w:val="0"/>
        <w:smallCaps w:val="0"/>
        <w:strike w:val="0"/>
        <w:color w:val="1a1a1a"/>
        <w:shd w:fill="auto" w:val="clear"/>
        <w:vertAlign w:val="baseline"/>
      </w:rPr>
    </w:lvl>
    <w:lvl w:ilvl="5">
      <w:start w:val="1"/>
      <w:numFmt w:val="bullet"/>
      <w:lvlText w:val="•"/>
      <w:lvlJc w:val="left"/>
      <w:pPr>
        <w:ind w:left="1695" w:hanging="375"/>
      </w:pPr>
      <w:rPr>
        <w:rFonts w:ascii="Calibri" w:cs="Calibri" w:eastAsia="Calibri" w:hAnsi="Calibri"/>
        <w:b w:val="0"/>
        <w:i w:val="0"/>
        <w:smallCaps w:val="0"/>
        <w:strike w:val="0"/>
        <w:color w:val="1a1a1a"/>
        <w:shd w:fill="auto" w:val="clear"/>
        <w:vertAlign w:val="baseline"/>
      </w:rPr>
    </w:lvl>
    <w:lvl w:ilvl="6">
      <w:start w:val="1"/>
      <w:numFmt w:val="bullet"/>
      <w:lvlText w:val="•"/>
      <w:lvlJc w:val="left"/>
      <w:pPr>
        <w:ind w:left="1915" w:hanging="375"/>
      </w:pPr>
      <w:rPr>
        <w:rFonts w:ascii="Calibri" w:cs="Calibri" w:eastAsia="Calibri" w:hAnsi="Calibri"/>
        <w:b w:val="0"/>
        <w:i w:val="0"/>
        <w:smallCaps w:val="0"/>
        <w:strike w:val="0"/>
        <w:color w:val="1a1a1a"/>
        <w:shd w:fill="auto" w:val="clear"/>
        <w:vertAlign w:val="baseline"/>
      </w:rPr>
    </w:lvl>
    <w:lvl w:ilvl="7">
      <w:start w:val="1"/>
      <w:numFmt w:val="bullet"/>
      <w:lvlText w:val="•"/>
      <w:lvlJc w:val="left"/>
      <w:pPr>
        <w:ind w:left="2135" w:hanging="375"/>
      </w:pPr>
      <w:rPr>
        <w:rFonts w:ascii="Calibri" w:cs="Calibri" w:eastAsia="Calibri" w:hAnsi="Calibri"/>
        <w:b w:val="0"/>
        <w:i w:val="0"/>
        <w:smallCaps w:val="0"/>
        <w:strike w:val="0"/>
        <w:color w:val="1a1a1a"/>
        <w:shd w:fill="auto" w:val="clear"/>
        <w:vertAlign w:val="baseline"/>
      </w:rPr>
    </w:lvl>
    <w:lvl w:ilvl="8">
      <w:start w:val="1"/>
      <w:numFmt w:val="bullet"/>
      <w:lvlText w:val="•"/>
      <w:lvlJc w:val="left"/>
      <w:pPr>
        <w:ind w:left="2355" w:hanging="375"/>
      </w:pPr>
      <w:rPr>
        <w:rFonts w:ascii="Calibri" w:cs="Calibri" w:eastAsia="Calibri" w:hAnsi="Calibri"/>
        <w:b w:val="0"/>
        <w:i w:val="0"/>
        <w:smallCaps w:val="0"/>
        <w:strike w:val="0"/>
        <w:color w:val="1a1a1a"/>
        <w:shd w:fill="auto" w:val="clear"/>
        <w:vertAlign w:val="baseline"/>
      </w:rPr>
    </w:lvl>
  </w:abstractNum>
  <w:abstractNum w:abstractNumId="2">
    <w:lvl w:ilvl="0">
      <w:start w:val="1"/>
      <w:numFmt w:val="bullet"/>
      <w:lvlText w:val="•"/>
      <w:lvlJc w:val="left"/>
      <w:pPr>
        <w:ind w:left="564" w:hanging="344"/>
      </w:pPr>
      <w:rPr>
        <w:rFonts w:ascii="Calibri" w:cs="Calibri" w:eastAsia="Calibri" w:hAnsi="Calibri"/>
        <w:b w:val="0"/>
        <w:i w:val="0"/>
        <w:smallCaps w:val="0"/>
        <w:strike w:val="0"/>
        <w:color w:val="000000"/>
        <w:shd w:fill="auto" w:val="clear"/>
        <w:vertAlign w:val="baseline"/>
      </w:rPr>
    </w:lvl>
    <w:lvl w:ilvl="1">
      <w:start w:val="1"/>
      <w:numFmt w:val="bullet"/>
      <w:lvlText w:val="•"/>
      <w:lvlJc w:val="left"/>
      <w:pPr>
        <w:ind w:left="815" w:hanging="375"/>
      </w:pPr>
      <w:rPr>
        <w:rFonts w:ascii="Calibri" w:cs="Calibri" w:eastAsia="Calibri" w:hAnsi="Calibri"/>
        <w:b w:val="0"/>
        <w:i w:val="0"/>
        <w:smallCaps w:val="0"/>
        <w:strike w:val="0"/>
        <w:color w:val="000000"/>
        <w:shd w:fill="auto" w:val="clear"/>
        <w:vertAlign w:val="baseline"/>
      </w:rPr>
    </w:lvl>
    <w:lvl w:ilvl="2">
      <w:start w:val="1"/>
      <w:numFmt w:val="bullet"/>
      <w:lvlText w:val="•"/>
      <w:lvlJc w:val="left"/>
      <w:pPr>
        <w:ind w:left="1035" w:hanging="375"/>
      </w:pPr>
      <w:rPr>
        <w:rFonts w:ascii="Calibri" w:cs="Calibri" w:eastAsia="Calibri" w:hAnsi="Calibri"/>
        <w:b w:val="0"/>
        <w:i w:val="0"/>
        <w:smallCaps w:val="0"/>
        <w:strike w:val="0"/>
        <w:color w:val="000000"/>
        <w:shd w:fill="auto" w:val="clear"/>
        <w:vertAlign w:val="baseline"/>
      </w:rPr>
    </w:lvl>
    <w:lvl w:ilvl="3">
      <w:start w:val="1"/>
      <w:numFmt w:val="bullet"/>
      <w:lvlText w:val="•"/>
      <w:lvlJc w:val="left"/>
      <w:pPr>
        <w:ind w:left="1255" w:hanging="375"/>
      </w:pPr>
      <w:rPr>
        <w:rFonts w:ascii="Calibri" w:cs="Calibri" w:eastAsia="Calibri" w:hAnsi="Calibri"/>
        <w:b w:val="0"/>
        <w:i w:val="0"/>
        <w:smallCaps w:val="0"/>
        <w:strike w:val="0"/>
        <w:color w:val="000000"/>
        <w:shd w:fill="auto" w:val="clear"/>
        <w:vertAlign w:val="baseline"/>
      </w:rPr>
    </w:lvl>
    <w:lvl w:ilvl="4">
      <w:start w:val="1"/>
      <w:numFmt w:val="bullet"/>
      <w:lvlText w:val="•"/>
      <w:lvlJc w:val="left"/>
      <w:pPr>
        <w:ind w:left="1475" w:hanging="375"/>
      </w:pPr>
      <w:rPr>
        <w:rFonts w:ascii="Calibri" w:cs="Calibri" w:eastAsia="Calibri" w:hAnsi="Calibri"/>
        <w:b w:val="0"/>
        <w:i w:val="0"/>
        <w:smallCaps w:val="0"/>
        <w:strike w:val="0"/>
        <w:color w:val="000000"/>
        <w:shd w:fill="auto" w:val="clear"/>
        <w:vertAlign w:val="baseline"/>
      </w:rPr>
    </w:lvl>
    <w:lvl w:ilvl="5">
      <w:start w:val="1"/>
      <w:numFmt w:val="bullet"/>
      <w:lvlText w:val="•"/>
      <w:lvlJc w:val="left"/>
      <w:pPr>
        <w:ind w:left="1695" w:hanging="375"/>
      </w:pPr>
      <w:rPr>
        <w:rFonts w:ascii="Calibri" w:cs="Calibri" w:eastAsia="Calibri" w:hAnsi="Calibri"/>
        <w:b w:val="0"/>
        <w:i w:val="0"/>
        <w:smallCaps w:val="0"/>
        <w:strike w:val="0"/>
        <w:color w:val="000000"/>
        <w:shd w:fill="auto" w:val="clear"/>
        <w:vertAlign w:val="baseline"/>
      </w:rPr>
    </w:lvl>
    <w:lvl w:ilvl="6">
      <w:start w:val="1"/>
      <w:numFmt w:val="bullet"/>
      <w:lvlText w:val="•"/>
      <w:lvlJc w:val="left"/>
      <w:pPr>
        <w:ind w:left="1915" w:hanging="375"/>
      </w:pPr>
      <w:rPr>
        <w:rFonts w:ascii="Calibri" w:cs="Calibri" w:eastAsia="Calibri" w:hAnsi="Calibri"/>
        <w:b w:val="0"/>
        <w:i w:val="0"/>
        <w:smallCaps w:val="0"/>
        <w:strike w:val="0"/>
        <w:color w:val="000000"/>
        <w:shd w:fill="auto" w:val="clear"/>
        <w:vertAlign w:val="baseline"/>
      </w:rPr>
    </w:lvl>
    <w:lvl w:ilvl="7">
      <w:start w:val="1"/>
      <w:numFmt w:val="bullet"/>
      <w:lvlText w:val="•"/>
      <w:lvlJc w:val="left"/>
      <w:pPr>
        <w:ind w:left="2135" w:hanging="375"/>
      </w:pPr>
      <w:rPr>
        <w:rFonts w:ascii="Calibri" w:cs="Calibri" w:eastAsia="Calibri" w:hAnsi="Calibri"/>
        <w:b w:val="0"/>
        <w:i w:val="0"/>
        <w:smallCaps w:val="0"/>
        <w:strike w:val="0"/>
        <w:color w:val="000000"/>
        <w:shd w:fill="auto" w:val="clear"/>
        <w:vertAlign w:val="baseline"/>
      </w:rPr>
    </w:lvl>
    <w:lvl w:ilvl="8">
      <w:start w:val="1"/>
      <w:numFmt w:val="bullet"/>
      <w:lvlText w:val="•"/>
      <w:lvlJc w:val="left"/>
      <w:pPr>
        <w:ind w:left="2355" w:hanging="375"/>
      </w:pPr>
      <w:rPr>
        <w:rFonts w:ascii="Calibri" w:cs="Calibri" w:eastAsia="Calibri" w:hAnsi="Calibri"/>
        <w:b w:val="0"/>
        <w:i w:val="0"/>
        <w:smallCaps w:val="0"/>
        <w:strike w:val="0"/>
        <w:color w:val="00000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y.uwc.org/applications" TargetMode="External"/><Relationship Id="rId7" Type="http://schemas.openxmlformats.org/officeDocument/2006/relationships/hyperlink" Target="https://www.cy.uwc.or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